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39" w:rsidRPr="00EF6E39" w:rsidRDefault="00EF6E39" w:rsidP="00EF6E39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Порядок оформления и ведения тетрадей по русскому языку и литературе</w:t>
      </w:r>
    </w:p>
    <w:p w:rsidR="00EF6E39" w:rsidRDefault="00EF6E39" w:rsidP="00EF6E3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</w:pP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Все записи в тетрадях обучающиеся должны производить, соблюдая следующие правила: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писать аккуратным, разборчивым почерком, при этом: 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тетради по предметам русский язык и литература должны быть стандартными в широкую линейку объёмом 12-18 листов; общие тетради (48 листов) разрешаются, только начиная с 9 класса.</w:t>
      </w:r>
    </w:p>
    <w:p w:rsidR="00EF6E39" w:rsidRDefault="00EF6E39" w:rsidP="00EF6E3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</w:pP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Единообразно выполнять надписи на обложке тетради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Тетрадь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для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работ по русскому языку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учени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к</w:t>
      </w:r>
      <w:proofErr w:type="gramStart"/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а(</w:t>
      </w:r>
      <w:proofErr w:type="spellStart"/>
      <w:proofErr w:type="gramEnd"/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цы</w:t>
      </w:r>
      <w:proofErr w:type="spellEnd"/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) 5 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класса 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Куфинской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 xml:space="preserve"> 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СО</w:t>
      </w:r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Ш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 xml:space="preserve"> 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Арсена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На обложке тетрадей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для контрольных работ, работ по развитию речи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 делаются соответствующие записи.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Тетрадь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для контрольных работ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по русскому языку</w:t>
      </w:r>
    </w:p>
    <w:p w:rsidR="00EF6E39" w:rsidRDefault="00EF6E39" w:rsidP="00EF6E3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</w:pP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Указывать дату выполнения работы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По центру строки: в тетрадях по русскому языку – прописью; в тетрадях по литературе на полях или вначале строки –  цифрами. Например: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Пятнадцатое апреля.  15.04.14.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Указывать, где выполняется работа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По центру строки с прописной буквы: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Классная работа. Домашняя работа.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Писать на отдельной строке тему урока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Название темы пишется без кавычек (исключение составляют цитаты), например: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Строение и грамматическое значение предложений.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Указывать номер упражнения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По центру строки с прописной буквы, например: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Упражнение № 345.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 Слово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«</w:t>
      </w:r>
      <w:proofErr w:type="spellStart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Упражнение</w:t>
      </w:r>
      <w:proofErr w:type="gramStart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»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з</w:t>
      </w:r>
      <w:proofErr w:type="gramEnd"/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аписывается</w:t>
      </w:r>
      <w:proofErr w:type="spellEnd"/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 xml:space="preserve"> без сокращений.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Указывать вид выполняемой работы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По центру строки с прописной буквы: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Проверочная работа.  Самостоятельная работа.  Работа над ошибками.  Изложение.  Сочинение. План. Конспект.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Итоговые контрольные работы по русскому языку выполняются в специальных тетрадях, предназначенных для этого вида работ, поэтому слова «контрольная работа» не пишутся; записывается только вид работы, например: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Диктант</w:t>
      </w:r>
      <w:r w:rsidRPr="00EF6E39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 Вариантность выполнения работы фиксируется на следующей строке по центру, например: </w:t>
      </w:r>
      <w:r w:rsidRPr="00EF6E39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ru-RU"/>
        </w:rPr>
        <w:t>Вариант – 1</w:t>
      </w:r>
      <w:r w:rsidRPr="00EF6E39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Соблюдать поля и красную строку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Текст каждой новой работы начинается с «красной» строки на той же странице тетради, на которой написаны дата и наименование работы. При оформлении красной строки делается отступ вправо не менее 2 см.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Вести записи в тетрадях синим или фиолетовым стержнем, 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при этом:</w:t>
      </w:r>
    </w:p>
    <w:p w:rsidR="00EF6E39" w:rsidRPr="00EF6E39" w:rsidRDefault="00EF6E39" w:rsidP="00EF6E39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линии внутри одной работы не пропускаются;</w:t>
      </w:r>
    </w:p>
    <w:p w:rsidR="00EF6E39" w:rsidRPr="00EF6E39" w:rsidRDefault="00EF6E39" w:rsidP="00EF6E39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между домашней и классной работой оставляются 2 линии;</w:t>
      </w:r>
    </w:p>
    <w:p w:rsidR="00EF6E39" w:rsidRPr="00EF6E39" w:rsidRDefault="00EF6E39" w:rsidP="00EF6E39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запрещается писать на полях (за исключением пометок на полях во время записи лекций в старших классах);</w:t>
      </w:r>
    </w:p>
    <w:p w:rsidR="00EF6E39" w:rsidRPr="00EF6E39" w:rsidRDefault="00EF6E39" w:rsidP="00EF6E39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запрещается писать и производить какие-либо отметки красным стержнем.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Все подчёркивания следует делать остро заточенным простым карандашом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lastRenderedPageBreak/>
        <w:t>При необходимости использовать с этой целью линейку; грамматические формы указывать над словами также простым карандашом. Чёрный или зелёный стержни могут быть использованы при составлении схем, таблиц и т. д.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Исправлять ошибки следующим образом:</w:t>
      </w:r>
    </w:p>
    <w:p w:rsidR="00EF6E39" w:rsidRPr="00EF6E39" w:rsidRDefault="00EF6E39" w:rsidP="00EF6E39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неверно написанную букву или пунктуационный знак аккуратно зачеркивать косой линией;  </w:t>
      </w:r>
    </w:p>
    <w:p w:rsidR="00EF6E39" w:rsidRPr="00EF6E39" w:rsidRDefault="00EF6E39" w:rsidP="00EF6E39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часть слова, слово, предложение – тонкой горизонтальной линией;</w:t>
      </w:r>
    </w:p>
    <w:p w:rsidR="00EF6E39" w:rsidRPr="00EF6E39" w:rsidRDefault="00EF6E39" w:rsidP="00EF6E39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вместо зачеркнутого надписывать нужные буквы, слова, предложения;</w:t>
      </w:r>
    </w:p>
    <w:p w:rsidR="00EF6E39" w:rsidRPr="00EF6E39" w:rsidRDefault="00EF6E39" w:rsidP="00EF6E39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не заключать неверные написания в скобки;</w:t>
      </w:r>
    </w:p>
    <w:p w:rsidR="00EF6E39" w:rsidRPr="00EF6E39" w:rsidRDefault="00EF6E39" w:rsidP="00EF6E39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Arial" w:eastAsia="Times New Roman" w:hAnsi="Arial" w:cs="Arial"/>
          <w:color w:val="3E382D"/>
          <w:sz w:val="21"/>
          <w:szCs w:val="21"/>
          <w:lang w:eastAsia="ru-RU"/>
        </w:rPr>
        <w:t> </w:t>
      </w:r>
      <w:r w:rsidRPr="00EF6E39">
        <w:rPr>
          <w:rFonts w:ascii="Times New Roman" w:eastAsia="Times New Roman" w:hAnsi="Times New Roman" w:cs="Times New Roman"/>
          <w:color w:val="3E382D"/>
          <w:sz w:val="20"/>
          <w:szCs w:val="20"/>
          <w:lang w:eastAsia="ru-RU"/>
        </w:rPr>
        <w:t>не использовать для исправления ошибок корректирующие средства.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Соблюдать принятые нормы сокращений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При выполнении различных видов разбора, сокращения производятся только на согласные, например: глухой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гл.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звонкий – </w:t>
      </w:r>
      <w:proofErr w:type="spellStart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зв</w:t>
      </w:r>
      <w:proofErr w:type="spellEnd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согласный – </w:t>
      </w:r>
      <w:proofErr w:type="spellStart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согл</w:t>
      </w:r>
      <w:proofErr w:type="spellEnd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твердый – </w:t>
      </w:r>
      <w:proofErr w:type="spellStart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тв</w:t>
      </w:r>
      <w:proofErr w:type="spellEnd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существительное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сущ.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 xml:space="preserve">, прилагательное </w:t>
      </w:r>
      <w:proofErr w:type="gramStart"/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–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п</w:t>
      </w:r>
      <w:proofErr w:type="gramEnd"/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рил.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глагол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гл.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предлог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пр.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мужской род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м. р.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женский род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ж. р.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средний род – </w:t>
      </w:r>
      <w:r w:rsidRPr="00EF6E39">
        <w:rPr>
          <w:rFonts w:ascii="Times New Roman" w:eastAsia="Times New Roman" w:hAnsi="Times New Roman" w:cs="Times New Roman"/>
          <w:i/>
          <w:iCs/>
          <w:color w:val="29251E"/>
          <w:sz w:val="20"/>
          <w:szCs w:val="20"/>
          <w:lang w:eastAsia="ru-RU"/>
        </w:rPr>
        <w:t>ср. р.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прошедшее время – </w:t>
      </w:r>
      <w:proofErr w:type="spellStart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прош</w:t>
      </w:r>
      <w:proofErr w:type="spellEnd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 xml:space="preserve">. </w:t>
      </w:r>
      <w:proofErr w:type="spellStart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вр</w:t>
      </w:r>
      <w:proofErr w:type="spellEnd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настоящее время –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 xml:space="preserve">наст. </w:t>
      </w:r>
      <w:proofErr w:type="spellStart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вр</w:t>
      </w:r>
      <w:proofErr w:type="spellEnd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будущее время –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 xml:space="preserve">буд. </w:t>
      </w:r>
      <w:proofErr w:type="spellStart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вр</w:t>
      </w:r>
      <w:proofErr w:type="spellEnd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единственное число –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ед. ч.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множественное число –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мн. ч.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 названия падежей указываются заглавной буквой (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 xml:space="preserve">Им. </w:t>
      </w:r>
      <w:proofErr w:type="spellStart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п.</w:t>
      </w:r>
      <w:proofErr w:type="gramStart"/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Р</w:t>
      </w:r>
      <w:proofErr w:type="spellEnd"/>
      <w:proofErr w:type="gramEnd"/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. п.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Д. п.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В. п.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Т. п.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, </w:t>
      </w:r>
      <w:r w:rsidRPr="00EF6E39">
        <w:rPr>
          <w:rFonts w:ascii="Arial" w:eastAsia="Times New Roman" w:hAnsi="Arial" w:cs="Arial"/>
          <w:i/>
          <w:iCs/>
          <w:color w:val="29251E"/>
          <w:sz w:val="20"/>
          <w:szCs w:val="20"/>
          <w:lang w:eastAsia="ru-RU"/>
        </w:rPr>
        <w:t>П. п</w:t>
      </w: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.).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Обучающиеся должны иметь следующее количество тетрадей: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Русский язык: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2 рабочие тетради;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1 тетрадь для контрольных работ;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1 тетрадь для работ по развитию речи;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  <w:lang w:eastAsia="ru-RU"/>
        </w:rPr>
        <w:t>Литература: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1 рабочая тетрадь;</w:t>
      </w:r>
    </w:p>
    <w:p w:rsidR="00EF6E39" w:rsidRPr="00EF6E39" w:rsidRDefault="00EF6E39" w:rsidP="00EF6E3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6E39">
        <w:rPr>
          <w:rFonts w:ascii="Times New Roman" w:eastAsia="Times New Roman" w:hAnsi="Times New Roman" w:cs="Times New Roman"/>
          <w:color w:val="29251E"/>
          <w:sz w:val="20"/>
          <w:szCs w:val="20"/>
          <w:lang w:eastAsia="ru-RU"/>
        </w:rPr>
        <w:t>1 тетрадь для творческих работ.</w:t>
      </w:r>
    </w:p>
    <w:p w:rsidR="00EF6E39" w:rsidRPr="00EF6E39" w:rsidRDefault="00EF6E39" w:rsidP="00EF6E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769A" w:rsidRDefault="0086769A" w:rsidP="00AF5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E39" w:rsidRPr="00AF5F9C" w:rsidRDefault="00EF6E39" w:rsidP="00AF5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71802B" wp14:editId="7D2748F2">
                <wp:extent cx="304800" cy="304800"/>
                <wp:effectExtent l="0" t="0" r="0" b="0"/>
                <wp:docPr id="13" name="AutoShape 21" descr="https://multiurok.ru/img/100160/image_5bb045b02624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https://multiurok.ru/img/100160/image_5bb045b02624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l9dsL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EF6E39" w:rsidRPr="00AF5F9C" w:rsidSect="007F0F19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99"/>
    <w:multiLevelType w:val="multilevel"/>
    <w:tmpl w:val="1D6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2E5C"/>
    <w:multiLevelType w:val="multilevel"/>
    <w:tmpl w:val="83C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A732D"/>
    <w:multiLevelType w:val="multilevel"/>
    <w:tmpl w:val="A764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53627"/>
    <w:multiLevelType w:val="multilevel"/>
    <w:tmpl w:val="6E4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03A30"/>
    <w:multiLevelType w:val="multilevel"/>
    <w:tmpl w:val="FAB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C270E"/>
    <w:multiLevelType w:val="multilevel"/>
    <w:tmpl w:val="065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C0704"/>
    <w:multiLevelType w:val="multilevel"/>
    <w:tmpl w:val="BEA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B33A7"/>
    <w:multiLevelType w:val="multilevel"/>
    <w:tmpl w:val="87F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51DE7"/>
    <w:multiLevelType w:val="multilevel"/>
    <w:tmpl w:val="E0E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11D90"/>
    <w:multiLevelType w:val="multilevel"/>
    <w:tmpl w:val="B50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15500D"/>
    <w:multiLevelType w:val="multilevel"/>
    <w:tmpl w:val="94D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7718A"/>
    <w:multiLevelType w:val="multilevel"/>
    <w:tmpl w:val="354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31B5B"/>
    <w:multiLevelType w:val="multilevel"/>
    <w:tmpl w:val="74BE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22827"/>
    <w:multiLevelType w:val="multilevel"/>
    <w:tmpl w:val="57A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094189"/>
    <w:multiLevelType w:val="multilevel"/>
    <w:tmpl w:val="DC1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D3CAB"/>
    <w:multiLevelType w:val="multilevel"/>
    <w:tmpl w:val="62A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528F6"/>
    <w:multiLevelType w:val="hybridMultilevel"/>
    <w:tmpl w:val="46269E0E"/>
    <w:lvl w:ilvl="0" w:tplc="98A0D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1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0D"/>
    <w:rsid w:val="000049C4"/>
    <w:rsid w:val="00074232"/>
    <w:rsid w:val="000E316D"/>
    <w:rsid w:val="000E59AC"/>
    <w:rsid w:val="00105BF9"/>
    <w:rsid w:val="00155E86"/>
    <w:rsid w:val="00464FE9"/>
    <w:rsid w:val="004A4AC3"/>
    <w:rsid w:val="004B580C"/>
    <w:rsid w:val="004E1241"/>
    <w:rsid w:val="0057614E"/>
    <w:rsid w:val="005D4982"/>
    <w:rsid w:val="00616561"/>
    <w:rsid w:val="00617BAF"/>
    <w:rsid w:val="00667F43"/>
    <w:rsid w:val="006A1D3C"/>
    <w:rsid w:val="006E3A32"/>
    <w:rsid w:val="00705FC9"/>
    <w:rsid w:val="00725639"/>
    <w:rsid w:val="0077627E"/>
    <w:rsid w:val="007F0F19"/>
    <w:rsid w:val="008056A7"/>
    <w:rsid w:val="0083076E"/>
    <w:rsid w:val="0086769A"/>
    <w:rsid w:val="008C000D"/>
    <w:rsid w:val="009C2A01"/>
    <w:rsid w:val="00AB7C18"/>
    <w:rsid w:val="00AF5F9C"/>
    <w:rsid w:val="00B000FC"/>
    <w:rsid w:val="00CB027F"/>
    <w:rsid w:val="00CE0D0B"/>
    <w:rsid w:val="00E3249B"/>
    <w:rsid w:val="00ED6E81"/>
    <w:rsid w:val="00EF3702"/>
    <w:rsid w:val="00EF6E39"/>
    <w:rsid w:val="00F1103F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0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4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66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6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4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296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447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ActZal</dc:creator>
  <cp:lastModifiedBy>Kufa</cp:lastModifiedBy>
  <cp:revision>2</cp:revision>
  <dcterms:created xsi:type="dcterms:W3CDTF">2019-02-01T17:55:00Z</dcterms:created>
  <dcterms:modified xsi:type="dcterms:W3CDTF">2019-02-01T17:55:00Z</dcterms:modified>
</cp:coreProperties>
</file>